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211599A5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4E351A">
              <w:rPr>
                <w:rFonts w:cs="Tahoma"/>
                <w:b/>
                <w:bCs/>
              </w:rPr>
              <w:t>Y</w:t>
            </w:r>
            <w:r w:rsidR="00215300">
              <w:rPr>
                <w:rFonts w:cs="Tahoma"/>
                <w:b/>
                <w:bCs/>
              </w:rPr>
              <w:t>3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>Spring 1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1B5CA0F8" w:rsidR="00D94885" w:rsidRPr="00980AFA" w:rsidRDefault="00215300" w:rsidP="00980AFA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215300">
              <w:rPr>
                <w:rFonts w:cs="Tahoma"/>
                <w:b/>
                <w:bCs/>
                <w:sz w:val="36"/>
                <w:szCs w:val="32"/>
              </w:rPr>
              <w:t>Why do Hindus want to collect good karma?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29F66DE5" w14:textId="13BDB358" w:rsidR="00FA2136" w:rsidRPr="005A342C" w:rsidRDefault="005A342C" w:rsidP="005A34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are beginning to grasp the concept. They may talk </w:t>
            </w:r>
            <w:r w:rsidR="00905EF5" w:rsidRPr="005A342C">
              <w:rPr>
                <w:rFonts w:cs="Tahoma"/>
              </w:rPr>
              <w:t>about the kind of actions expected from a Hindu child – such as kind</w:t>
            </w:r>
            <w:r w:rsidR="00191534" w:rsidRPr="005A342C">
              <w:rPr>
                <w:rFonts w:cs="Tahoma"/>
              </w:rPr>
              <w:t>n</w:t>
            </w:r>
            <w:r w:rsidR="00905EF5" w:rsidRPr="005A342C">
              <w:rPr>
                <w:rFonts w:cs="Tahoma"/>
              </w:rPr>
              <w:t xml:space="preserve">ess. They may remember detail from </w:t>
            </w:r>
            <w:r>
              <w:rPr>
                <w:rFonts w:cs="Tahoma"/>
              </w:rPr>
              <w:t xml:space="preserve">their </w:t>
            </w:r>
            <w:r w:rsidR="00905EF5" w:rsidRPr="005A342C">
              <w:rPr>
                <w:rFonts w:cs="Tahoma"/>
              </w:rPr>
              <w:t>stories. However</w:t>
            </w:r>
            <w:r>
              <w:rPr>
                <w:rFonts w:cs="Tahoma"/>
              </w:rPr>
              <w:t>,</w:t>
            </w:r>
            <w:r w:rsidR="00905EF5" w:rsidRPr="005A342C">
              <w:rPr>
                <w:rFonts w:cs="Tahoma"/>
              </w:rPr>
              <w:t xml:space="preserve"> they do not make the link to karma as a core Hindu belief</w:t>
            </w:r>
            <w:r>
              <w:rPr>
                <w:rFonts w:cs="Tahoma"/>
              </w:rPr>
              <w:t xml:space="preserve"> without support</w:t>
            </w:r>
            <w:r w:rsidR="00905EF5" w:rsidRPr="005A342C">
              <w:rPr>
                <w:rFonts w:cs="Tahoma"/>
              </w:rPr>
              <w:t xml:space="preserve">. </w:t>
            </w:r>
          </w:p>
          <w:p w14:paraId="2D22F420" w14:textId="77777777" w:rsidR="00FA2136" w:rsidRDefault="00FA2136" w:rsidP="00B919CD">
            <w:pPr>
              <w:spacing w:before="100" w:beforeAutospacing="1" w:after="100" w:afterAutospacing="1"/>
              <w:rPr>
                <w:rFonts w:cs="Tahoma"/>
                <w:highlight w:val="yellow"/>
              </w:rPr>
            </w:pPr>
          </w:p>
          <w:p w14:paraId="10F1EB8A" w14:textId="6D13A2FC" w:rsidR="00012671" w:rsidRDefault="00012671" w:rsidP="008C419F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3AE4BB9E" w14:textId="29795816" w:rsidR="005F58CF" w:rsidRPr="00905EF5" w:rsidRDefault="00E1068D" w:rsidP="005F58CF">
            <w:pPr>
              <w:rPr>
                <w:rFonts w:cs="Tahoma"/>
                <w:b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</w:t>
            </w:r>
            <w:r w:rsidR="008C419F">
              <w:rPr>
                <w:rFonts w:eastAsia="Times New Roman" w:cs="Tahoma"/>
                <w:iCs/>
                <w:szCs w:val="20"/>
              </w:rPr>
              <w:t xml:space="preserve"> </w:t>
            </w:r>
            <w:r w:rsidR="00A85D59">
              <w:rPr>
                <w:rFonts w:eastAsia="Times New Roman" w:cs="Tahoma"/>
                <w:iCs/>
                <w:szCs w:val="20"/>
              </w:rPr>
              <w:t xml:space="preserve">explain the 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Hindu </w:t>
            </w:r>
            <w:r w:rsidR="00A85D59">
              <w:rPr>
                <w:rFonts w:eastAsia="Times New Roman" w:cs="Tahoma"/>
                <w:iCs/>
                <w:szCs w:val="20"/>
              </w:rPr>
              <w:t xml:space="preserve">concept of karma 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as actions always having consequences. That </w:t>
            </w:r>
            <w:r w:rsidR="005F58CF">
              <w:rPr>
                <w:rFonts w:eastAsia="Times New Roman" w:cs="Tahoma"/>
                <w:iCs/>
                <w:szCs w:val="20"/>
              </w:rPr>
              <w:t>good choices hav</w:t>
            </w:r>
            <w:r w:rsidR="005F58CF">
              <w:rPr>
                <w:rFonts w:eastAsia="Times New Roman" w:cs="Tahoma"/>
                <w:iCs/>
                <w:szCs w:val="20"/>
              </w:rPr>
              <w:t>e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 good results</w:t>
            </w:r>
            <w:r w:rsidR="005F58CF">
              <w:rPr>
                <w:rFonts w:eastAsia="Times New Roman" w:cs="Tahoma"/>
                <w:iCs/>
                <w:szCs w:val="20"/>
              </w:rPr>
              <w:t>. They may</w:t>
            </w:r>
            <w:r w:rsidR="00A85D59">
              <w:rPr>
                <w:rFonts w:eastAsia="Times New Roman" w:cs="Tahoma"/>
                <w:iCs/>
                <w:szCs w:val="20"/>
              </w:rPr>
              <w:t xml:space="preserve"> refer</w:t>
            </w:r>
            <w:r w:rsidR="008C419F">
              <w:rPr>
                <w:rFonts w:eastAsia="Times New Roman" w:cs="Tahoma"/>
                <w:iCs/>
                <w:szCs w:val="20"/>
              </w:rPr>
              <w:t xml:space="preserve"> to the game of snakes and ladders</w:t>
            </w:r>
            <w:r w:rsidR="00D124B2">
              <w:rPr>
                <w:rFonts w:eastAsia="Times New Roman" w:cs="Tahoma"/>
                <w:iCs/>
                <w:szCs w:val="20"/>
              </w:rPr>
              <w:t xml:space="preserve"> </w:t>
            </w:r>
            <w:r w:rsidR="005F58CF">
              <w:rPr>
                <w:rFonts w:eastAsia="Times New Roman" w:cs="Tahoma"/>
                <w:iCs/>
                <w:szCs w:val="20"/>
              </w:rPr>
              <w:t>in their explanations or</w:t>
            </w:r>
            <w:r w:rsidR="00C74B91">
              <w:rPr>
                <w:rFonts w:eastAsia="Times New Roman" w:cs="Tahoma"/>
                <w:iCs/>
                <w:szCs w:val="20"/>
              </w:rPr>
              <w:t xml:space="preserve"> other practical examples e.g.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 how karma influenced </w:t>
            </w:r>
            <w:r w:rsidR="00EA11D1">
              <w:rPr>
                <w:rFonts w:eastAsia="Times New Roman" w:cs="Tahoma"/>
                <w:iCs/>
                <w:szCs w:val="20"/>
              </w:rPr>
              <w:t>Gandhi</w:t>
            </w:r>
            <w:r w:rsidR="008C419F">
              <w:rPr>
                <w:rFonts w:eastAsia="Times New Roman" w:cs="Tahoma"/>
                <w:iCs/>
                <w:szCs w:val="20"/>
              </w:rPr>
              <w:t xml:space="preserve">. </w:t>
            </w:r>
            <w:r w:rsidR="005F58CF">
              <w:rPr>
                <w:rFonts w:cs="Tahoma"/>
                <w:bCs/>
                <w:szCs w:val="20"/>
              </w:rPr>
              <w:t>They k</w:t>
            </w:r>
            <w:r w:rsidR="005F58CF" w:rsidRPr="00905EF5">
              <w:rPr>
                <w:rFonts w:cs="Tahoma"/>
                <w:bCs/>
                <w:szCs w:val="20"/>
              </w:rPr>
              <w:t>now that even Hindu children must learn to take responsibility for gathering good karma</w:t>
            </w:r>
            <w:r w:rsidR="00C74B91">
              <w:rPr>
                <w:rFonts w:cs="Tahoma"/>
                <w:bCs/>
                <w:szCs w:val="20"/>
              </w:rPr>
              <w:t xml:space="preserve"> and give examples of how they do this or what they </w:t>
            </w:r>
            <w:r w:rsidR="008C419F" w:rsidRPr="008C419F">
              <w:rPr>
                <w:rFonts w:eastAsia="Times New Roman" w:cs="Tahoma"/>
                <w:iCs/>
                <w:szCs w:val="20"/>
              </w:rPr>
              <w:t>might learn from one of their stories about living the right way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. </w:t>
            </w:r>
            <w:r w:rsidR="00C74B91">
              <w:rPr>
                <w:rFonts w:eastAsia="Times New Roman" w:cs="Tahoma"/>
                <w:iCs/>
                <w:szCs w:val="20"/>
              </w:rPr>
              <w:t>Pupils describe</w:t>
            </w:r>
            <w:r w:rsidR="005F58CF">
              <w:rPr>
                <w:rFonts w:eastAsia="Times New Roman" w:cs="Tahoma"/>
                <w:iCs/>
                <w:szCs w:val="20"/>
              </w:rPr>
              <w:t xml:space="preserve"> k</w:t>
            </w:r>
            <w:r w:rsidR="005F58CF" w:rsidRPr="00905EF5">
              <w:rPr>
                <w:rFonts w:cs="Tahoma"/>
                <w:bCs/>
                <w:szCs w:val="20"/>
              </w:rPr>
              <w:t>now Hindus are encouraged to perform acts of selfless kindness</w:t>
            </w:r>
            <w:r w:rsidR="005F58CF">
              <w:rPr>
                <w:rFonts w:cs="Tahoma"/>
                <w:bCs/>
                <w:szCs w:val="20"/>
              </w:rPr>
              <w:t xml:space="preserve"> and can give examples of what this looks like</w:t>
            </w:r>
            <w:r w:rsidR="00C74B91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C74B91">
              <w:rPr>
                <w:rFonts w:cs="Tahoma"/>
                <w:bCs/>
                <w:szCs w:val="20"/>
              </w:rPr>
              <w:t>e.g</w:t>
            </w:r>
            <w:proofErr w:type="spellEnd"/>
            <w:r w:rsidR="00C74B91">
              <w:rPr>
                <w:rFonts w:cs="Tahoma"/>
                <w:bCs/>
                <w:szCs w:val="20"/>
              </w:rPr>
              <w:t xml:space="preserve"> Sewa day activities. </w:t>
            </w:r>
          </w:p>
          <w:p w14:paraId="4A58F2FA" w14:textId="77777777" w:rsidR="00125C1C" w:rsidRDefault="00125C1C" w:rsidP="00125C1C">
            <w:pPr>
              <w:pStyle w:val="ListParagraph"/>
              <w:rPr>
                <w:rFonts w:ascii="Tahoma" w:hAnsi="Tahoma" w:cs="Tahoma"/>
                <w:bCs/>
                <w:sz w:val="22"/>
              </w:rPr>
            </w:pPr>
          </w:p>
          <w:p w14:paraId="643C48C1" w14:textId="5D450952" w:rsidR="0096398F" w:rsidRDefault="0096398F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039171D2" w14:textId="77777777" w:rsidR="00215300" w:rsidRPr="00215300" w:rsidRDefault="00215300" w:rsidP="00215300">
            <w:pPr>
              <w:spacing w:before="240" w:after="120"/>
              <w:rPr>
                <w:rFonts w:cs="Tahoma"/>
                <w:i/>
                <w:iCs/>
                <w:noProof/>
                <w:lang w:eastAsia="en-GB"/>
              </w:rPr>
            </w:pPr>
            <w:r w:rsidRPr="00215300">
              <w:rPr>
                <w:rFonts w:cs="Tahoma"/>
                <w:i/>
                <w:iCs/>
                <w:noProof/>
                <w:lang w:val="en-US" w:eastAsia="en-GB"/>
              </w:rPr>
              <w:t>Hindus take responsibility for gathering good karma and living the right way.</w:t>
            </w:r>
            <w:r w:rsidRPr="00215300">
              <w:rPr>
                <w:rFonts w:cs="Tahoma"/>
                <w:i/>
                <w:iCs/>
                <w:noProof/>
                <w:lang w:eastAsia="en-GB"/>
              </w:rPr>
              <w:t xml:space="preserve"> </w:t>
            </w:r>
          </w:p>
          <w:p w14:paraId="57839B57" w14:textId="15B16C91" w:rsidR="00B919CD" w:rsidRPr="00012671" w:rsidRDefault="00B919CD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3E21432C" w14:textId="6E06DB55" w:rsidR="00905EF5" w:rsidRPr="00905EF5" w:rsidRDefault="00CC41FC" w:rsidP="00C74B91">
            <w:pPr>
              <w:spacing w:before="100" w:beforeAutospacing="1" w:after="100" w:afterAutospacing="1"/>
              <w:rPr>
                <w:rFonts w:cs="Tahoma"/>
              </w:rPr>
            </w:pPr>
            <w:r w:rsidRPr="00FA2136">
              <w:rPr>
                <w:rFonts w:cs="Tahoma"/>
              </w:rPr>
              <w:t xml:space="preserve">These pupils </w:t>
            </w:r>
            <w:r w:rsidR="008C419F">
              <w:rPr>
                <w:rFonts w:cs="Tahoma"/>
              </w:rPr>
              <w:t xml:space="preserve">have an excellent grasp of karma within the context of Hindu belief. They understand </w:t>
            </w:r>
            <w:r w:rsidR="00C74B91">
              <w:rPr>
                <w:rFonts w:cs="Tahoma"/>
              </w:rPr>
              <w:t>the concept</w:t>
            </w:r>
            <w:r w:rsidR="008C419F">
              <w:rPr>
                <w:rFonts w:cs="Tahoma"/>
              </w:rPr>
              <w:t xml:space="preserve"> has a place within a wider system </w:t>
            </w:r>
            <w:r w:rsidR="00C74B91">
              <w:rPr>
                <w:rFonts w:cs="Tahoma"/>
              </w:rPr>
              <w:t xml:space="preserve">of belief </w:t>
            </w:r>
            <w:r w:rsidR="008C419F">
              <w:rPr>
                <w:rFonts w:cs="Tahoma"/>
              </w:rPr>
              <w:t xml:space="preserve">and </w:t>
            </w:r>
            <w:r w:rsidR="00C74B91">
              <w:rPr>
                <w:rFonts w:cs="Tahoma"/>
              </w:rPr>
              <w:t xml:space="preserve">can </w:t>
            </w:r>
            <w:r w:rsidR="008C419F">
              <w:rPr>
                <w:rFonts w:cs="Tahoma"/>
              </w:rPr>
              <w:t xml:space="preserve">make some reference to this in their understanding </w:t>
            </w:r>
            <w:proofErr w:type="spellStart"/>
            <w:r w:rsidR="00C74B91">
              <w:rPr>
                <w:rFonts w:cs="Tahoma"/>
              </w:rPr>
              <w:t>e.g</w:t>
            </w:r>
            <w:proofErr w:type="spellEnd"/>
            <w:r w:rsidR="00C74B91">
              <w:rPr>
                <w:rFonts w:cs="Tahoma"/>
              </w:rPr>
              <w:t xml:space="preserve"> </w:t>
            </w:r>
            <w:r w:rsidR="008C419F">
              <w:rPr>
                <w:rFonts w:cs="Tahoma"/>
              </w:rPr>
              <w:t>s</w:t>
            </w:r>
            <w:r w:rsidR="008C419F" w:rsidRPr="008C419F">
              <w:rPr>
                <w:rFonts w:cs="Tahoma"/>
              </w:rPr>
              <w:t xml:space="preserve">amsara, </w:t>
            </w:r>
            <w:r w:rsidR="00EA11D1" w:rsidRPr="008C419F">
              <w:rPr>
                <w:rFonts w:cs="Tahoma"/>
              </w:rPr>
              <w:t>reincarnation,</w:t>
            </w:r>
            <w:r w:rsidR="008C419F">
              <w:rPr>
                <w:rFonts w:cs="Tahoma"/>
              </w:rPr>
              <w:t xml:space="preserve"> and </w:t>
            </w:r>
            <w:r w:rsidR="008C419F" w:rsidRPr="008C419F">
              <w:rPr>
                <w:rFonts w:cs="Tahoma"/>
              </w:rPr>
              <w:t>moksha</w:t>
            </w:r>
            <w:r w:rsidR="00905EF5">
              <w:rPr>
                <w:rFonts w:cs="Tahoma"/>
              </w:rPr>
              <w:t xml:space="preserve">. </w:t>
            </w:r>
            <w:r w:rsidR="00C74B91">
              <w:rPr>
                <w:rFonts w:cs="Tahoma"/>
              </w:rPr>
              <w:t>The topic prompts them to a</w:t>
            </w:r>
            <w:r w:rsidR="00905EF5">
              <w:rPr>
                <w:rFonts w:cs="Tahoma"/>
              </w:rPr>
              <w:t xml:space="preserve">sk </w:t>
            </w:r>
            <w:r w:rsidR="00C74B91">
              <w:rPr>
                <w:rFonts w:cs="Tahoma"/>
              </w:rPr>
              <w:t xml:space="preserve">big </w:t>
            </w:r>
            <w:r w:rsidR="00905EF5">
              <w:rPr>
                <w:rFonts w:cs="Tahoma"/>
              </w:rPr>
              <w:t xml:space="preserve">questions </w:t>
            </w:r>
            <w:r w:rsidR="00C74B91">
              <w:rPr>
                <w:rFonts w:cs="Tahoma"/>
              </w:rPr>
              <w:t xml:space="preserve">about </w:t>
            </w:r>
            <w:r w:rsidR="00905EF5">
              <w:rPr>
                <w:rFonts w:cs="Tahoma"/>
              </w:rPr>
              <w:t>life</w:t>
            </w:r>
            <w:r w:rsidR="00C74B91">
              <w:rPr>
                <w:rFonts w:cs="Tahoma"/>
              </w:rPr>
              <w:t>.</w:t>
            </w:r>
            <w:r w:rsidR="00905EF5">
              <w:rPr>
                <w:rFonts w:cs="Tahoma"/>
              </w:rPr>
              <w:t xml:space="preserve"> </w:t>
            </w:r>
          </w:p>
          <w:p w14:paraId="21EC339D" w14:textId="226DCF76" w:rsidR="00B919CD" w:rsidRPr="00B919CD" w:rsidRDefault="00B919CD" w:rsidP="00A57B72">
            <w:pPr>
              <w:rPr>
                <w:rFonts w:cs="Tahoma"/>
                <w:sz w:val="22"/>
              </w:rPr>
            </w:pPr>
          </w:p>
          <w:p w14:paraId="6EEB3E0E" w14:textId="559ABB7B" w:rsidR="00B919CD" w:rsidRDefault="00B919CD" w:rsidP="00A57B72">
            <w:pPr>
              <w:spacing w:before="240" w:after="120"/>
              <w:ind w:left="360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8341" w14:textId="77777777" w:rsidR="00AE1014" w:rsidRDefault="00AE1014" w:rsidP="008C062F">
      <w:pPr>
        <w:spacing w:before="0"/>
      </w:pPr>
      <w:r>
        <w:separator/>
      </w:r>
    </w:p>
  </w:endnote>
  <w:endnote w:type="continuationSeparator" w:id="0">
    <w:p w14:paraId="6C9B9F43" w14:textId="77777777" w:rsidR="00AE1014" w:rsidRDefault="00AE1014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6FD1" w14:textId="77777777" w:rsidR="00AE1014" w:rsidRDefault="00AE1014" w:rsidP="008C062F">
      <w:pPr>
        <w:spacing w:before="0"/>
      </w:pPr>
      <w:r>
        <w:separator/>
      </w:r>
    </w:p>
  </w:footnote>
  <w:footnote w:type="continuationSeparator" w:id="0">
    <w:p w14:paraId="5ED95363" w14:textId="77777777" w:rsidR="00AE1014" w:rsidRDefault="00AE1014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7E5B"/>
    <w:rsid w:val="00105967"/>
    <w:rsid w:val="001155BE"/>
    <w:rsid w:val="00125C1C"/>
    <w:rsid w:val="00191534"/>
    <w:rsid w:val="001F7196"/>
    <w:rsid w:val="00214927"/>
    <w:rsid w:val="00215300"/>
    <w:rsid w:val="002534B8"/>
    <w:rsid w:val="00272F93"/>
    <w:rsid w:val="002C0947"/>
    <w:rsid w:val="002F4593"/>
    <w:rsid w:val="002F523C"/>
    <w:rsid w:val="00350837"/>
    <w:rsid w:val="00396740"/>
    <w:rsid w:val="003C6D78"/>
    <w:rsid w:val="004368A0"/>
    <w:rsid w:val="00456403"/>
    <w:rsid w:val="004D0D42"/>
    <w:rsid w:val="004E29E6"/>
    <w:rsid w:val="004E351A"/>
    <w:rsid w:val="0055050B"/>
    <w:rsid w:val="005A342C"/>
    <w:rsid w:val="005A405D"/>
    <w:rsid w:val="005B0FEC"/>
    <w:rsid w:val="005E2087"/>
    <w:rsid w:val="005F58CF"/>
    <w:rsid w:val="00626287"/>
    <w:rsid w:val="00683670"/>
    <w:rsid w:val="00683A85"/>
    <w:rsid w:val="006A3B52"/>
    <w:rsid w:val="006C08EF"/>
    <w:rsid w:val="006D7579"/>
    <w:rsid w:val="006E07FF"/>
    <w:rsid w:val="00735BE7"/>
    <w:rsid w:val="007515D5"/>
    <w:rsid w:val="00776174"/>
    <w:rsid w:val="00800CB7"/>
    <w:rsid w:val="00804EF1"/>
    <w:rsid w:val="00867D2D"/>
    <w:rsid w:val="008C062F"/>
    <w:rsid w:val="008C419F"/>
    <w:rsid w:val="008F261A"/>
    <w:rsid w:val="00905EF5"/>
    <w:rsid w:val="00946C27"/>
    <w:rsid w:val="0096398F"/>
    <w:rsid w:val="00975A8D"/>
    <w:rsid w:val="00980AFA"/>
    <w:rsid w:val="009D7A40"/>
    <w:rsid w:val="00A57B72"/>
    <w:rsid w:val="00A85D59"/>
    <w:rsid w:val="00A86862"/>
    <w:rsid w:val="00AA64F3"/>
    <w:rsid w:val="00AC025B"/>
    <w:rsid w:val="00AD4577"/>
    <w:rsid w:val="00AE1014"/>
    <w:rsid w:val="00AE4480"/>
    <w:rsid w:val="00B017FB"/>
    <w:rsid w:val="00B0316A"/>
    <w:rsid w:val="00B05C0A"/>
    <w:rsid w:val="00B20406"/>
    <w:rsid w:val="00B44D76"/>
    <w:rsid w:val="00B5752E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74B91"/>
    <w:rsid w:val="00CA1B8E"/>
    <w:rsid w:val="00CB3FF1"/>
    <w:rsid w:val="00CC41FC"/>
    <w:rsid w:val="00CD3B66"/>
    <w:rsid w:val="00D124B2"/>
    <w:rsid w:val="00D16DF8"/>
    <w:rsid w:val="00D94885"/>
    <w:rsid w:val="00DB7980"/>
    <w:rsid w:val="00DC7C78"/>
    <w:rsid w:val="00DE747F"/>
    <w:rsid w:val="00DF4630"/>
    <w:rsid w:val="00E1068D"/>
    <w:rsid w:val="00EA11D1"/>
    <w:rsid w:val="00EA5628"/>
    <w:rsid w:val="00F330BB"/>
    <w:rsid w:val="00F96D04"/>
    <w:rsid w:val="00FA2136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71</cp:revision>
  <dcterms:created xsi:type="dcterms:W3CDTF">2015-11-27T16:38:00Z</dcterms:created>
  <dcterms:modified xsi:type="dcterms:W3CDTF">2022-01-16T13:54:00Z</dcterms:modified>
</cp:coreProperties>
</file>