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65A57E62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52627B">
              <w:rPr>
                <w:rFonts w:cs="Tahoma"/>
                <w:b/>
                <w:bCs/>
              </w:rPr>
              <w:t>Y</w:t>
            </w:r>
            <w:r w:rsidR="00B87F13">
              <w:rPr>
                <w:rFonts w:cs="Tahoma"/>
                <w:b/>
                <w:bCs/>
              </w:rPr>
              <w:t>3</w:t>
            </w:r>
            <w:r>
              <w:rPr>
                <w:rFonts w:cs="Tahoma"/>
                <w:b/>
                <w:bCs/>
              </w:rPr>
              <w:t xml:space="preserve">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 xml:space="preserve">Spring </w:t>
            </w:r>
            <w:r w:rsidR="00376599">
              <w:rPr>
                <w:rFonts w:cs="Tahoma"/>
                <w:b/>
                <w:bCs/>
              </w:rPr>
              <w:t>2</w:t>
            </w:r>
            <w:r w:rsidR="002534B8">
              <w:rPr>
                <w:rFonts w:cs="Tahoma"/>
                <w:b/>
                <w:bCs/>
              </w:rPr>
              <w:t xml:space="preserve">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7B20E7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34A2CCB3" w:rsidR="007B20E7" w:rsidRPr="00376599" w:rsidRDefault="00B87F13" w:rsidP="007B20E7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B87F13">
              <w:rPr>
                <w:b/>
                <w:bCs/>
                <w:sz w:val="36"/>
                <w:szCs w:val="32"/>
              </w:rPr>
              <w:t>Is the cross a symbol of love, sacrifice or commitment for Christians?</w:t>
            </w:r>
          </w:p>
        </w:tc>
      </w:tr>
      <w:tr w:rsidR="00CE4B75" w14:paraId="3BF2D4AE" w14:textId="77777777" w:rsidTr="00D94885">
        <w:tc>
          <w:tcPr>
            <w:tcW w:w="10456" w:type="dxa"/>
            <w:gridSpan w:val="3"/>
          </w:tcPr>
          <w:p w14:paraId="0B75A976" w14:textId="4BD595B9" w:rsidR="00CE4B75" w:rsidRPr="00F34D8B" w:rsidRDefault="00376599" w:rsidP="00CE4B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376599"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10F1EB8A" w14:textId="09B5E1DC" w:rsidR="007B7335" w:rsidRDefault="00D01862" w:rsidP="00D0186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These pupils can t</w:t>
            </w:r>
            <w:r w:rsidR="007B7335">
              <w:rPr>
                <w:rFonts w:cs="Tahoma"/>
              </w:rPr>
              <w:t xml:space="preserve">alk about sacrifice </w:t>
            </w:r>
            <w:r>
              <w:rPr>
                <w:rFonts w:cs="Tahoma"/>
              </w:rPr>
              <w:t xml:space="preserve">meaning giving up </w:t>
            </w:r>
            <w:r w:rsidR="007B7335">
              <w:rPr>
                <w:rFonts w:cs="Tahoma"/>
              </w:rPr>
              <w:t>something special or important to them.</w:t>
            </w:r>
            <w:r>
              <w:rPr>
                <w:rFonts w:cs="Tahoma"/>
              </w:rPr>
              <w:t xml:space="preserve"> They can retell parts of the Easter story and know the importance of the cross to Christians but </w:t>
            </w:r>
            <w:r w:rsidR="00E13848">
              <w:rPr>
                <w:rFonts w:cs="Tahoma"/>
              </w:rPr>
              <w:t xml:space="preserve">cannot make the link to the idea that </w:t>
            </w:r>
            <w:r w:rsidR="008A2C41">
              <w:rPr>
                <w:rFonts w:cs="Tahoma"/>
              </w:rPr>
              <w:t xml:space="preserve">Jesus was a sacrifice. </w:t>
            </w:r>
          </w:p>
        </w:tc>
        <w:tc>
          <w:tcPr>
            <w:tcW w:w="4819" w:type="dxa"/>
          </w:tcPr>
          <w:p w14:paraId="4E74AC92" w14:textId="2651BA5E" w:rsidR="0071085D" w:rsidRDefault="00E1068D" w:rsidP="00B919C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</w:t>
            </w:r>
            <w:r w:rsidR="0071085D">
              <w:rPr>
                <w:rFonts w:eastAsia="Times New Roman" w:cs="Tahoma"/>
                <w:iCs/>
                <w:szCs w:val="20"/>
              </w:rPr>
              <w:t xml:space="preserve"> can </w:t>
            </w:r>
            <w:r w:rsidR="00F71B83">
              <w:rPr>
                <w:rFonts w:eastAsia="Times New Roman" w:cs="Tahoma"/>
                <w:iCs/>
                <w:szCs w:val="20"/>
              </w:rPr>
              <w:t>describe how the cross is a symbol of sacrifice</w:t>
            </w:r>
            <w:r w:rsidR="001C029D">
              <w:rPr>
                <w:rFonts w:eastAsia="Times New Roman" w:cs="Tahoma"/>
                <w:iCs/>
                <w:szCs w:val="20"/>
              </w:rPr>
              <w:t xml:space="preserve"> </w:t>
            </w:r>
            <w:r w:rsidR="001C029D">
              <w:rPr>
                <w:rFonts w:eastAsia="Times New Roman" w:cs="Tahoma"/>
                <w:iCs/>
                <w:szCs w:val="20"/>
              </w:rPr>
              <w:t>for Christians</w:t>
            </w:r>
            <w:r w:rsidR="00F71B83">
              <w:rPr>
                <w:rFonts w:eastAsia="Times New Roman" w:cs="Tahoma"/>
                <w:iCs/>
                <w:szCs w:val="20"/>
              </w:rPr>
              <w:t xml:space="preserve">. They can make links to remembrance day in their explanations. Pupils </w:t>
            </w:r>
            <w:r w:rsidR="00057901">
              <w:rPr>
                <w:rFonts w:eastAsia="Times New Roman" w:cs="Tahoma"/>
                <w:iCs/>
                <w:szCs w:val="20"/>
              </w:rPr>
              <w:t xml:space="preserve">understand the Easter story and can think about how a Christian feels </w:t>
            </w:r>
            <w:r w:rsidR="00A20E58">
              <w:rPr>
                <w:rFonts w:eastAsia="Times New Roman" w:cs="Tahoma"/>
                <w:iCs/>
                <w:szCs w:val="20"/>
              </w:rPr>
              <w:t xml:space="preserve">when they think about the sacrifice of Jesus. In addition they understand that </w:t>
            </w:r>
            <w:r w:rsidR="00D01862">
              <w:rPr>
                <w:rFonts w:eastAsia="Times New Roman" w:cs="Tahoma"/>
                <w:iCs/>
                <w:szCs w:val="20"/>
              </w:rPr>
              <w:t>Christianity</w:t>
            </w:r>
            <w:r w:rsidR="00A20E58">
              <w:rPr>
                <w:rFonts w:eastAsia="Times New Roman" w:cs="Tahoma"/>
                <w:iCs/>
                <w:szCs w:val="20"/>
              </w:rPr>
              <w:t xml:space="preserve"> is a global religion. They can talk about other crosses and customs across the world such a</w:t>
            </w:r>
            <w:r w:rsidR="00D01862">
              <w:rPr>
                <w:rFonts w:eastAsia="Times New Roman" w:cs="Tahoma"/>
                <w:iCs/>
                <w:szCs w:val="20"/>
              </w:rPr>
              <w:t>s making the sign of the cross.</w:t>
            </w:r>
          </w:p>
          <w:p w14:paraId="304C9869" w14:textId="77777777" w:rsidR="0071085D" w:rsidRDefault="0071085D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49219BF" w14:textId="257CBDE3" w:rsidR="00B919CD" w:rsidRDefault="00B919CD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643C48C1" w14:textId="5D450952" w:rsidR="0096398F" w:rsidRDefault="0096398F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776196A8" w14:textId="77777777" w:rsidR="00B919CD" w:rsidRDefault="00D238A8" w:rsidP="00B919CD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val="en-US" w:eastAsia="en-GB"/>
              </w:rPr>
            </w:pPr>
            <w:r w:rsidRPr="00D238A8">
              <w:rPr>
                <w:rFonts w:cs="Tahoma"/>
                <w:i/>
                <w:iCs/>
                <w:noProof/>
                <w:lang w:val="en-US" w:eastAsia="en-GB"/>
              </w:rPr>
              <w:t>For Christians, the cross is an important symbol for God’s love and is a sign of commitment as well as sacrifice</w:t>
            </w:r>
          </w:p>
          <w:p w14:paraId="57839B57" w14:textId="2A46DB7E" w:rsidR="004B55EE" w:rsidRPr="00F035D1" w:rsidRDefault="004B55EE" w:rsidP="00D01862">
            <w:pPr>
              <w:spacing w:before="240" w:after="120"/>
              <w:rPr>
                <w:rFonts w:cs="Tahoma"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49707D9B" w:rsidR="00B919CD" w:rsidRDefault="00CC41FC" w:rsidP="00D01862">
            <w:pPr>
              <w:spacing w:before="100" w:beforeAutospacing="1" w:after="100" w:afterAutospacing="1"/>
              <w:rPr>
                <w:rFonts w:cs="Tahoma"/>
              </w:rPr>
            </w:pPr>
            <w:r w:rsidRPr="00D01862">
              <w:rPr>
                <w:rFonts w:cs="Tahoma"/>
              </w:rPr>
              <w:t xml:space="preserve">These pupils have an excellent grasp of the concept of </w:t>
            </w:r>
            <w:r w:rsidR="00D01862" w:rsidRPr="00D01862">
              <w:rPr>
                <w:rFonts w:cs="Tahoma"/>
              </w:rPr>
              <w:t>sacrifice.</w:t>
            </w:r>
            <w:r w:rsidR="00D01862">
              <w:rPr>
                <w:rFonts w:cs="Tahoma"/>
              </w:rPr>
              <w:t xml:space="preserve"> They can </w:t>
            </w:r>
            <w:r w:rsidR="007C7231">
              <w:t>make links between the Christian ideal of a life of love, sacrifice and commitment with Jesus’ teaching about ‘taking up the cross</w:t>
            </w:r>
            <w:r w:rsidR="00D01862">
              <w:t>.’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0C5E" w14:textId="77777777" w:rsidR="00D61B15" w:rsidRDefault="00D61B15" w:rsidP="008C062F">
      <w:pPr>
        <w:spacing w:before="0"/>
      </w:pPr>
      <w:r>
        <w:separator/>
      </w:r>
    </w:p>
  </w:endnote>
  <w:endnote w:type="continuationSeparator" w:id="0">
    <w:p w14:paraId="5B2871C9" w14:textId="77777777" w:rsidR="00D61B15" w:rsidRDefault="00D61B15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FEE4" w14:textId="77777777" w:rsidR="00D61B15" w:rsidRDefault="00D61B15" w:rsidP="008C062F">
      <w:pPr>
        <w:spacing w:before="0"/>
      </w:pPr>
      <w:r>
        <w:separator/>
      </w:r>
    </w:p>
  </w:footnote>
  <w:footnote w:type="continuationSeparator" w:id="0">
    <w:p w14:paraId="2185A48D" w14:textId="77777777" w:rsidR="00D61B15" w:rsidRDefault="00D61B15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57901"/>
    <w:rsid w:val="000D7E5B"/>
    <w:rsid w:val="00105967"/>
    <w:rsid w:val="001155BE"/>
    <w:rsid w:val="00136E3D"/>
    <w:rsid w:val="00154014"/>
    <w:rsid w:val="001C029D"/>
    <w:rsid w:val="001F7196"/>
    <w:rsid w:val="00214927"/>
    <w:rsid w:val="00215300"/>
    <w:rsid w:val="002534B8"/>
    <w:rsid w:val="00272F93"/>
    <w:rsid w:val="002C0947"/>
    <w:rsid w:val="002F523C"/>
    <w:rsid w:val="00350837"/>
    <w:rsid w:val="00376599"/>
    <w:rsid w:val="00396740"/>
    <w:rsid w:val="003C6D78"/>
    <w:rsid w:val="004368A0"/>
    <w:rsid w:val="00456403"/>
    <w:rsid w:val="004B55EE"/>
    <w:rsid w:val="004D0D42"/>
    <w:rsid w:val="004E29E6"/>
    <w:rsid w:val="004E351A"/>
    <w:rsid w:val="0052627B"/>
    <w:rsid w:val="0055050B"/>
    <w:rsid w:val="005746D2"/>
    <w:rsid w:val="005A405D"/>
    <w:rsid w:val="005B0FEC"/>
    <w:rsid w:val="005E2087"/>
    <w:rsid w:val="00626287"/>
    <w:rsid w:val="00683670"/>
    <w:rsid w:val="00683A85"/>
    <w:rsid w:val="006A3B52"/>
    <w:rsid w:val="006A65E2"/>
    <w:rsid w:val="006C08EF"/>
    <w:rsid w:val="006D7579"/>
    <w:rsid w:val="006E07FF"/>
    <w:rsid w:val="0071085D"/>
    <w:rsid w:val="00735BE7"/>
    <w:rsid w:val="007515D5"/>
    <w:rsid w:val="00776174"/>
    <w:rsid w:val="007B20E7"/>
    <w:rsid w:val="007B7335"/>
    <w:rsid w:val="007C7231"/>
    <w:rsid w:val="00800CB7"/>
    <w:rsid w:val="00804EF1"/>
    <w:rsid w:val="00867D2D"/>
    <w:rsid w:val="008A2C41"/>
    <w:rsid w:val="008C062F"/>
    <w:rsid w:val="008F261A"/>
    <w:rsid w:val="00946C27"/>
    <w:rsid w:val="00953F72"/>
    <w:rsid w:val="0096398F"/>
    <w:rsid w:val="00975A8D"/>
    <w:rsid w:val="00980AFA"/>
    <w:rsid w:val="009D7A40"/>
    <w:rsid w:val="00A20E58"/>
    <w:rsid w:val="00A57B72"/>
    <w:rsid w:val="00A86862"/>
    <w:rsid w:val="00AA64F3"/>
    <w:rsid w:val="00AC025B"/>
    <w:rsid w:val="00AE4480"/>
    <w:rsid w:val="00B017FB"/>
    <w:rsid w:val="00B0316A"/>
    <w:rsid w:val="00B05C0A"/>
    <w:rsid w:val="00B20406"/>
    <w:rsid w:val="00B41BEB"/>
    <w:rsid w:val="00B5752E"/>
    <w:rsid w:val="00B87F13"/>
    <w:rsid w:val="00B919CD"/>
    <w:rsid w:val="00BA3A9B"/>
    <w:rsid w:val="00BB3204"/>
    <w:rsid w:val="00BE5611"/>
    <w:rsid w:val="00C06E8E"/>
    <w:rsid w:val="00C1461C"/>
    <w:rsid w:val="00C22C94"/>
    <w:rsid w:val="00C25FD1"/>
    <w:rsid w:val="00C579D4"/>
    <w:rsid w:val="00CA1B8E"/>
    <w:rsid w:val="00CB3FF1"/>
    <w:rsid w:val="00CC41FC"/>
    <w:rsid w:val="00CD3B66"/>
    <w:rsid w:val="00CE4B75"/>
    <w:rsid w:val="00CE5B37"/>
    <w:rsid w:val="00D01862"/>
    <w:rsid w:val="00D16DF8"/>
    <w:rsid w:val="00D238A8"/>
    <w:rsid w:val="00D61B15"/>
    <w:rsid w:val="00D94885"/>
    <w:rsid w:val="00DB7980"/>
    <w:rsid w:val="00DC7C78"/>
    <w:rsid w:val="00DD0448"/>
    <w:rsid w:val="00DE747F"/>
    <w:rsid w:val="00E1068D"/>
    <w:rsid w:val="00E13848"/>
    <w:rsid w:val="00EA5628"/>
    <w:rsid w:val="00EF4ACB"/>
    <w:rsid w:val="00F035D1"/>
    <w:rsid w:val="00F330BB"/>
    <w:rsid w:val="00F71B83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86</cp:revision>
  <dcterms:created xsi:type="dcterms:W3CDTF">2015-11-27T16:38:00Z</dcterms:created>
  <dcterms:modified xsi:type="dcterms:W3CDTF">2022-02-21T15:10:00Z</dcterms:modified>
</cp:coreProperties>
</file>