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92C09" w14:textId="77777777" w:rsidR="00330F05" w:rsidRDefault="00330F05" w:rsidP="00191E3E">
      <w:pPr>
        <w:spacing w:after="0" w:line="240" w:lineRule="auto"/>
        <w:rPr>
          <w:rFonts w:ascii="Book Antiqua" w:hAnsi="Book Antiqua"/>
          <w:b/>
          <w:color w:val="211D1E"/>
          <w:sz w:val="24"/>
          <w:szCs w:val="24"/>
          <w:u w:val="single"/>
        </w:rPr>
      </w:pPr>
    </w:p>
    <w:p w14:paraId="60CB4510" w14:textId="77777777" w:rsidR="00330F05" w:rsidRDefault="00330F05" w:rsidP="00191E3E">
      <w:pPr>
        <w:spacing w:after="0" w:line="240" w:lineRule="auto"/>
        <w:rPr>
          <w:rFonts w:ascii="Book Antiqua" w:hAnsi="Book Antiqua"/>
          <w:b/>
          <w:color w:val="211D1E"/>
          <w:sz w:val="24"/>
          <w:szCs w:val="24"/>
          <w:u w:val="single"/>
        </w:rPr>
      </w:pPr>
      <w:r>
        <w:rPr>
          <w:rFonts w:ascii="Book Antiqua" w:hAnsi="Book Antiqua"/>
          <w:b/>
          <w:color w:val="211D1E"/>
          <w:sz w:val="24"/>
          <w:szCs w:val="24"/>
          <w:u w:val="single"/>
        </w:rPr>
        <w:t>DWELLING IN THE WORD</w:t>
      </w:r>
    </w:p>
    <w:p w14:paraId="712550F3" w14:textId="77777777" w:rsidR="00330F05" w:rsidRDefault="00330F05" w:rsidP="00191E3E">
      <w:pPr>
        <w:spacing w:after="0" w:line="240" w:lineRule="auto"/>
        <w:rPr>
          <w:rFonts w:ascii="Book Antiqua" w:hAnsi="Book Antiqua"/>
          <w:b/>
          <w:color w:val="211D1E"/>
          <w:sz w:val="24"/>
          <w:szCs w:val="24"/>
          <w:u w:val="single"/>
        </w:rPr>
      </w:pPr>
    </w:p>
    <w:p w14:paraId="3F9F67D3" w14:textId="77777777" w:rsidR="000F2CB3" w:rsidRPr="00191E3E" w:rsidRDefault="000F2CB3" w:rsidP="00191E3E">
      <w:pPr>
        <w:spacing w:after="0" w:line="240" w:lineRule="auto"/>
        <w:rPr>
          <w:rFonts w:ascii="Book Antiqua" w:hAnsi="Book Antiqua"/>
          <w:b/>
          <w:color w:val="211D1E"/>
          <w:sz w:val="24"/>
          <w:szCs w:val="24"/>
          <w:u w:val="single"/>
        </w:rPr>
      </w:pPr>
      <w:r w:rsidRPr="00191E3E">
        <w:rPr>
          <w:rFonts w:ascii="Book Antiqua" w:hAnsi="Book Antiqua"/>
          <w:b/>
          <w:color w:val="211D1E"/>
          <w:sz w:val="24"/>
          <w:szCs w:val="24"/>
          <w:u w:val="single"/>
        </w:rPr>
        <w:t>How we Dwell in the Word</w:t>
      </w:r>
    </w:p>
    <w:p w14:paraId="615ED2B5" w14:textId="77777777" w:rsidR="00191E3E" w:rsidRPr="00191E3E" w:rsidRDefault="00191E3E" w:rsidP="00191E3E">
      <w:pPr>
        <w:spacing w:after="0" w:line="240" w:lineRule="auto"/>
        <w:rPr>
          <w:color w:val="211D1E"/>
          <w:sz w:val="24"/>
          <w:szCs w:val="24"/>
        </w:rPr>
      </w:pPr>
    </w:p>
    <w:p w14:paraId="0DC6476B" w14:textId="77777777" w:rsidR="00330F05" w:rsidRDefault="00330F05" w:rsidP="004F2EEB">
      <w:pPr>
        <w:pStyle w:val="Default"/>
        <w:numPr>
          <w:ilvl w:val="0"/>
          <w:numId w:val="5"/>
        </w:numPr>
        <w:spacing w:after="120"/>
        <w:ind w:left="357" w:hanging="357"/>
        <w:rPr>
          <w:color w:val="211D1E"/>
        </w:rPr>
      </w:pPr>
      <w:r>
        <w:rPr>
          <w:color w:val="211D1E"/>
        </w:rPr>
        <w:t>Listen to the passage read</w:t>
      </w:r>
    </w:p>
    <w:p w14:paraId="0AAE894C" w14:textId="77777777" w:rsidR="00330F05" w:rsidRDefault="00330F05" w:rsidP="004F2EEB">
      <w:pPr>
        <w:pStyle w:val="Default"/>
        <w:numPr>
          <w:ilvl w:val="0"/>
          <w:numId w:val="5"/>
        </w:numPr>
        <w:spacing w:after="120"/>
        <w:ind w:left="357" w:hanging="357"/>
        <w:rPr>
          <w:color w:val="211D1E"/>
        </w:rPr>
      </w:pPr>
      <w:r>
        <w:rPr>
          <w:color w:val="211D1E"/>
        </w:rPr>
        <w:t>Consider where it ‘captures’ you, speaks to you and/or what question(s) it raises for you</w:t>
      </w:r>
    </w:p>
    <w:p w14:paraId="64D5EFA4" w14:textId="77777777" w:rsidR="000F2CB3" w:rsidRPr="00191E3E" w:rsidRDefault="005F7866" w:rsidP="004F2EEB">
      <w:pPr>
        <w:pStyle w:val="Default"/>
        <w:numPr>
          <w:ilvl w:val="0"/>
          <w:numId w:val="5"/>
        </w:numPr>
        <w:spacing w:after="120"/>
        <w:ind w:left="357" w:hanging="357"/>
        <w:rPr>
          <w:color w:val="211D1E"/>
        </w:rPr>
      </w:pPr>
      <w:r>
        <w:rPr>
          <w:color w:val="211D1E"/>
        </w:rPr>
        <w:t>Walk across the room to find</w:t>
      </w:r>
      <w:r w:rsidR="000F2CB3" w:rsidRPr="00191E3E">
        <w:rPr>
          <w:color w:val="211D1E"/>
        </w:rPr>
        <w:t xml:space="preserve"> a person in the group you do not know or know less well, a ‘reasonably friendly-looking stranger’. </w:t>
      </w:r>
    </w:p>
    <w:p w14:paraId="7E5747E8" w14:textId="77777777" w:rsidR="000F2CB3" w:rsidRPr="00191E3E" w:rsidRDefault="004F2EEB" w:rsidP="004F2EEB">
      <w:pPr>
        <w:pStyle w:val="Default"/>
        <w:numPr>
          <w:ilvl w:val="0"/>
          <w:numId w:val="5"/>
        </w:numPr>
        <w:spacing w:after="120"/>
        <w:ind w:left="357" w:hanging="357"/>
        <w:rPr>
          <w:color w:val="211D1E"/>
        </w:rPr>
      </w:pPr>
      <w:r w:rsidRPr="00191E3E">
        <w:rPr>
          <w:noProof/>
          <w:color w:val="211D1E"/>
        </w:rPr>
        <w:drawing>
          <wp:anchor distT="0" distB="0" distL="114300" distR="114300" simplePos="0" relativeHeight="251661312" behindDoc="1" locked="0" layoutInCell="1" allowOverlap="1" wp14:anchorId="490788D8" wp14:editId="41199F1C">
            <wp:simplePos x="0" y="0"/>
            <wp:positionH relativeFrom="column">
              <wp:posOffset>5020310</wp:posOffset>
            </wp:positionH>
            <wp:positionV relativeFrom="paragraph">
              <wp:posOffset>139065</wp:posOffset>
            </wp:positionV>
            <wp:extent cx="1685925" cy="1569085"/>
            <wp:effectExtent l="0" t="0" r="9525" b="0"/>
            <wp:wrapTight wrapText="bothSides">
              <wp:wrapPolygon edited="0">
                <wp:start x="0" y="0"/>
                <wp:lineTo x="0" y="21242"/>
                <wp:lineTo x="21478" y="21242"/>
                <wp:lineTo x="2147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26" t="13461" b="12821"/>
                    <a:stretch/>
                  </pic:blipFill>
                  <pic:spPr bwMode="auto">
                    <a:xfrm>
                      <a:off x="0" y="0"/>
                      <a:ext cx="168592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CB3" w:rsidRPr="00191E3E">
        <w:rPr>
          <w:color w:val="211D1E"/>
        </w:rPr>
        <w:t xml:space="preserve">Listen to that person as he or she tells you what they heard in the passage. They may mention something </w:t>
      </w:r>
      <w:proofErr w:type="gramStart"/>
      <w:r w:rsidR="000F2CB3" w:rsidRPr="00191E3E">
        <w:rPr>
          <w:color w:val="211D1E"/>
        </w:rPr>
        <w:t>they’d</w:t>
      </w:r>
      <w:proofErr w:type="gramEnd"/>
      <w:r w:rsidR="000F2CB3" w:rsidRPr="00191E3E">
        <w:rPr>
          <w:color w:val="211D1E"/>
        </w:rPr>
        <w:t xml:space="preserve"> never heard before, something odd or something comforting, or something about which they’d like to ask a Bible scholar. </w:t>
      </w:r>
      <w:r w:rsidR="005F7866">
        <w:rPr>
          <w:color w:val="211D1E"/>
        </w:rPr>
        <w:t>Then report what you heard.</w:t>
      </w:r>
    </w:p>
    <w:p w14:paraId="756E8D9C" w14:textId="77777777" w:rsidR="000F2CB3" w:rsidRPr="00C248D6" w:rsidRDefault="000F2CB3" w:rsidP="00C248D6">
      <w:pPr>
        <w:pStyle w:val="Default"/>
        <w:numPr>
          <w:ilvl w:val="0"/>
          <w:numId w:val="5"/>
        </w:numPr>
        <w:spacing w:after="120"/>
        <w:ind w:left="357" w:hanging="357"/>
        <w:rPr>
          <w:color w:val="211D1E"/>
        </w:rPr>
      </w:pPr>
      <w:r w:rsidRPr="00191E3E">
        <w:rPr>
          <w:color w:val="211D1E"/>
        </w:rPr>
        <w:t>Listen well, because your job will</w:t>
      </w:r>
      <w:r w:rsidR="005F7866">
        <w:rPr>
          <w:color w:val="211D1E"/>
        </w:rPr>
        <w:t xml:space="preserve"> be to report to a larger</w:t>
      </w:r>
      <w:r w:rsidRPr="00191E3E">
        <w:rPr>
          <w:color w:val="211D1E"/>
        </w:rPr>
        <w:t xml:space="preserve"> group </w:t>
      </w:r>
      <w:r w:rsidR="005F7866">
        <w:rPr>
          <w:color w:val="211D1E"/>
        </w:rPr>
        <w:t xml:space="preserve">of 4-6 </w:t>
      </w:r>
      <w:r w:rsidRPr="00191E3E">
        <w:rPr>
          <w:color w:val="211D1E"/>
        </w:rPr>
        <w:t xml:space="preserve">what your partner has said, not what you yourself said. Some people take notes to help them focus and remember. </w:t>
      </w:r>
    </w:p>
    <w:p w14:paraId="2D3B7D1A" w14:textId="77777777" w:rsidR="004F2EEB" w:rsidRDefault="004F2EEB" w:rsidP="00191E3E">
      <w:pPr>
        <w:spacing w:after="0" w:line="240" w:lineRule="auto"/>
        <w:rPr>
          <w:color w:val="211D1E"/>
          <w:sz w:val="24"/>
          <w:szCs w:val="24"/>
        </w:rPr>
      </w:pPr>
    </w:p>
    <w:p w14:paraId="5E3B29C8" w14:textId="77777777" w:rsidR="004F2EEB" w:rsidRPr="004F2EEB" w:rsidRDefault="004F2EEB" w:rsidP="00191E3E">
      <w:pPr>
        <w:spacing w:after="0" w:line="240" w:lineRule="auto"/>
        <w:rPr>
          <w:rFonts w:ascii="Book Antiqua" w:hAnsi="Book Antiqua"/>
          <w:b/>
          <w:color w:val="211D1E"/>
          <w:sz w:val="24"/>
          <w:szCs w:val="24"/>
          <w:u w:val="single"/>
        </w:rPr>
      </w:pPr>
      <w:r w:rsidRPr="004F2EEB">
        <w:rPr>
          <w:rFonts w:ascii="Book Antiqua" w:hAnsi="Book Antiqua"/>
          <w:b/>
          <w:color w:val="211D1E"/>
          <w:sz w:val="24"/>
          <w:szCs w:val="24"/>
          <w:u w:val="single"/>
        </w:rPr>
        <w:t>A prayer as we Dwell in the Word</w:t>
      </w:r>
    </w:p>
    <w:p w14:paraId="1EBEC79B" w14:textId="77777777" w:rsidR="004F2EEB" w:rsidRPr="00C91051" w:rsidRDefault="007C4423" w:rsidP="00191E3E">
      <w:pPr>
        <w:spacing w:after="0" w:line="240" w:lineRule="auto"/>
        <w:rPr>
          <w:rFonts w:ascii="Book Antiqua" w:hAnsi="Book Antiqua"/>
          <w:color w:val="211D1E"/>
          <w:sz w:val="12"/>
          <w:szCs w:val="12"/>
        </w:rPr>
      </w:pPr>
      <w:r w:rsidRPr="004F2EEB">
        <w:rPr>
          <w:rFonts w:ascii="Book Antiqua" w:hAnsi="Book Antiqua"/>
          <w:noProof/>
          <w:color w:val="211D1E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EF9CA72" wp14:editId="1FD81FA7">
            <wp:simplePos x="0" y="0"/>
            <wp:positionH relativeFrom="column">
              <wp:posOffset>3376295</wp:posOffset>
            </wp:positionH>
            <wp:positionV relativeFrom="paragraph">
              <wp:posOffset>12700</wp:posOffset>
            </wp:positionV>
            <wp:extent cx="3370580" cy="1523365"/>
            <wp:effectExtent l="0" t="0" r="127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5" r="6782" b="17577"/>
                    <a:stretch/>
                  </pic:blipFill>
                  <pic:spPr bwMode="auto">
                    <a:xfrm>
                      <a:off x="0" y="0"/>
                      <a:ext cx="337058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C5902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Loving God,</w:t>
      </w:r>
    </w:p>
    <w:p w14:paraId="46EF5115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Though our destination is not yet clear,</w:t>
      </w:r>
    </w:p>
    <w:p w14:paraId="660664AC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 xml:space="preserve">May we trust in Your graceful </w:t>
      </w:r>
      <w:proofErr w:type="gramStart"/>
      <w:r>
        <w:rPr>
          <w:rFonts w:ascii="Book Antiqua" w:hAnsi="Book Antiqua"/>
          <w:color w:val="211D1E"/>
          <w:sz w:val="24"/>
          <w:szCs w:val="24"/>
        </w:rPr>
        <w:t>promises;</w:t>
      </w:r>
      <w:proofErr w:type="gramEnd"/>
    </w:p>
    <w:p w14:paraId="1E5116B8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Though we are uncertain of ourselves,</w:t>
      </w:r>
    </w:p>
    <w:p w14:paraId="27E14A77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 xml:space="preserve">May we be rooted in Your loving </w:t>
      </w:r>
      <w:proofErr w:type="gramStart"/>
      <w:r>
        <w:rPr>
          <w:rFonts w:ascii="Book Antiqua" w:hAnsi="Book Antiqua"/>
          <w:color w:val="211D1E"/>
          <w:sz w:val="24"/>
          <w:szCs w:val="24"/>
        </w:rPr>
        <w:t>regard;</w:t>
      </w:r>
      <w:proofErr w:type="gramEnd"/>
    </w:p>
    <w:p w14:paraId="08F284DC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Though our attention is inclined to wander,</w:t>
      </w:r>
    </w:p>
    <w:p w14:paraId="5ADFA64A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 xml:space="preserve">May we hear the things You are </w:t>
      </w:r>
      <w:proofErr w:type="gramStart"/>
      <w:r>
        <w:rPr>
          <w:rFonts w:ascii="Book Antiqua" w:hAnsi="Book Antiqua"/>
          <w:color w:val="211D1E"/>
          <w:sz w:val="24"/>
          <w:szCs w:val="24"/>
        </w:rPr>
        <w:t>saying;</w:t>
      </w:r>
      <w:proofErr w:type="gramEnd"/>
    </w:p>
    <w:p w14:paraId="50FB51D4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Though we often neglect Your influence,</w:t>
      </w:r>
    </w:p>
    <w:p w14:paraId="547F0FE6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May we be convicted of Your power to change,</w:t>
      </w:r>
    </w:p>
    <w:p w14:paraId="2991DB40" w14:textId="77777777" w:rsidR="004F2EEB" w:rsidRDefault="004F2EEB" w:rsidP="00191E3E">
      <w:pPr>
        <w:spacing w:after="0" w:line="240" w:lineRule="auto"/>
        <w:rPr>
          <w:rFonts w:ascii="Book Antiqua" w:hAnsi="Book Antiqua"/>
          <w:color w:val="211D1E"/>
          <w:sz w:val="24"/>
          <w:szCs w:val="24"/>
        </w:rPr>
      </w:pPr>
      <w:r>
        <w:rPr>
          <w:rFonts w:ascii="Book Antiqua" w:hAnsi="Book Antiqua"/>
          <w:color w:val="211D1E"/>
          <w:sz w:val="24"/>
          <w:szCs w:val="24"/>
        </w:rPr>
        <w:t>In Jesus Christ our Lord, Amen.</w:t>
      </w:r>
    </w:p>
    <w:p w14:paraId="5B94E0EB" w14:textId="77777777" w:rsidR="007C4423" w:rsidRDefault="007C4423" w:rsidP="00191E3E">
      <w:pPr>
        <w:spacing w:after="0" w:line="240" w:lineRule="auto"/>
        <w:rPr>
          <w:color w:val="211D1E"/>
          <w:sz w:val="36"/>
          <w:szCs w:val="36"/>
        </w:rPr>
      </w:pPr>
    </w:p>
    <w:p w14:paraId="798579D3" w14:textId="77777777" w:rsidR="00D13B43" w:rsidRDefault="00D13B43" w:rsidP="00D13B43">
      <w:pPr>
        <w:shd w:val="clear" w:color="auto" w:fill="FFFFFF"/>
        <w:spacing w:beforeAutospacing="1" w:after="100" w:afterAutospacing="1" w:line="336" w:lineRule="atLeast"/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</w:pPr>
      <w:r w:rsidRPr="00D13B43">
        <w:rPr>
          <w:rFonts w:ascii="Book Antiqua" w:eastAsia="Times New Roman" w:hAnsi="Book Antiqua" w:cs="Arial"/>
          <w:color w:val="777777"/>
          <w:sz w:val="24"/>
          <w:szCs w:val="24"/>
          <w:lang w:eastAsia="en-GB"/>
        </w:rPr>
        <w:t>27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 Only, live your life in a manner worthy of the gospel of Christ, so that, whether I come and see you or am absent and hear about you, I will know that you are standing firm in one spirit, striving side by side with one mind for the faith of the gospel,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5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>Let the same mind be in you that was</w:t>
      </w:r>
      <w:hyperlink r:id="rId10" w:history="1">
        <w:r w:rsidRPr="00D13B43">
          <w:rPr>
            <w:rFonts w:ascii="Book Antiqua" w:eastAsia="Times New Roman" w:hAnsi="Book Antiqua" w:cs="Arial"/>
            <w:vanish/>
            <w:color w:val="0000BB"/>
            <w:sz w:val="24"/>
            <w:szCs w:val="24"/>
            <w:vertAlign w:val="superscript"/>
            <w:lang w:eastAsia="en-GB"/>
          </w:rPr>
          <w:t>*</w:t>
        </w:r>
      </w:hyperlink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in Christ Jesus,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6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who, though he was in the form of God, did not regard equality with God as something to be exploited,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7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but emptied himself, taking the form of a slave being born in human likeness. And being found in human form,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8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 he humbled himself and became obedient to the point of death—even death on a cross.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9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Therefore God also highly exalted him and gave him the name that is above every name,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10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so that at the name of Jesus every knee should bend, in heaven and on earth and under the earth, </w:t>
      </w:r>
      <w:r w:rsidRPr="00D13B43">
        <w:rPr>
          <w:rFonts w:ascii="Book Antiqua" w:eastAsia="Times New Roman" w:hAnsi="Book Antiqua" w:cs="Arial"/>
          <w:color w:val="777777"/>
          <w:sz w:val="24"/>
          <w:szCs w:val="24"/>
          <w:vertAlign w:val="superscript"/>
          <w:lang w:eastAsia="en-GB"/>
        </w:rPr>
        <w:t>11</w:t>
      </w:r>
      <w:r w:rsidRPr="00D13B43"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 xml:space="preserve"> and every tongue should confess that Jesus Christ is Lord, to the glory of God the Father. </w:t>
      </w:r>
    </w:p>
    <w:p w14:paraId="109F876B" w14:textId="77777777" w:rsidR="000F2CB3" w:rsidRPr="00D13B43" w:rsidRDefault="00D13B43" w:rsidP="00D13B43">
      <w:pPr>
        <w:shd w:val="clear" w:color="auto" w:fill="FFFFFF"/>
        <w:spacing w:beforeAutospacing="1" w:after="100" w:afterAutospacing="1" w:line="336" w:lineRule="atLeast"/>
        <w:ind w:left="7920" w:firstLine="720"/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</w:pPr>
      <w:r>
        <w:rPr>
          <w:rFonts w:ascii="Book Antiqua" w:eastAsia="Times New Roman" w:hAnsi="Book Antiqua" w:cs="Arial"/>
          <w:color w:val="010000"/>
          <w:sz w:val="24"/>
          <w:szCs w:val="24"/>
          <w:lang w:eastAsia="en-GB"/>
        </w:rPr>
        <w:t>Phil 1.27, 2.5-11</w:t>
      </w:r>
      <w:r w:rsidR="00C91051">
        <w:rPr>
          <w:rFonts w:cs="Book Antiqua"/>
          <w:color w:val="211D1E"/>
        </w:rPr>
        <w:tab/>
      </w:r>
      <w:r w:rsidR="00C91051">
        <w:rPr>
          <w:rFonts w:cs="Book Antiqua"/>
          <w:color w:val="211D1E"/>
        </w:rPr>
        <w:tab/>
      </w:r>
      <w:r w:rsidR="00C91051">
        <w:rPr>
          <w:rFonts w:cs="Book Antiqua"/>
          <w:color w:val="211D1E"/>
        </w:rPr>
        <w:tab/>
        <w:t xml:space="preserve">                                                                           </w:t>
      </w:r>
      <w:r>
        <w:rPr>
          <w:rFonts w:cs="Book Antiqua"/>
          <w:color w:val="211D1E"/>
        </w:rPr>
        <w:t xml:space="preserve">                               </w:t>
      </w:r>
    </w:p>
    <w:p w14:paraId="531ADFC6" w14:textId="77777777" w:rsidR="0062332C" w:rsidRPr="004F2EEB" w:rsidRDefault="0062332C" w:rsidP="00C91051">
      <w:pPr>
        <w:spacing w:after="0" w:line="240" w:lineRule="auto"/>
        <w:rPr>
          <w:sz w:val="24"/>
          <w:szCs w:val="24"/>
          <w:u w:val="single"/>
        </w:rPr>
      </w:pPr>
    </w:p>
    <w:sectPr w:rsidR="0062332C" w:rsidRPr="004F2EEB" w:rsidSect="0080764C"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B161E" w14:textId="77777777" w:rsidR="00EE20A6" w:rsidRDefault="00EE20A6" w:rsidP="000F2CB3">
      <w:pPr>
        <w:spacing w:after="0" w:line="240" w:lineRule="auto"/>
      </w:pPr>
      <w:r>
        <w:separator/>
      </w:r>
    </w:p>
  </w:endnote>
  <w:endnote w:type="continuationSeparator" w:id="0">
    <w:p w14:paraId="6A2BFAA5" w14:textId="77777777" w:rsidR="00EE20A6" w:rsidRDefault="00EE20A6" w:rsidP="000F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5AE0F" w14:textId="77777777" w:rsidR="004F2EEB" w:rsidRDefault="004F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48181" w14:textId="77777777" w:rsidR="00EE20A6" w:rsidRDefault="00EE20A6" w:rsidP="000F2CB3">
      <w:pPr>
        <w:spacing w:after="0" w:line="240" w:lineRule="auto"/>
      </w:pPr>
      <w:r>
        <w:separator/>
      </w:r>
    </w:p>
  </w:footnote>
  <w:footnote w:type="continuationSeparator" w:id="0">
    <w:p w14:paraId="1592CA11" w14:textId="77777777" w:rsidR="00EE20A6" w:rsidRDefault="00EE20A6" w:rsidP="000F2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948C208"/>
    <w:multiLevelType w:val="hybridMultilevel"/>
    <w:tmpl w:val="D8C0B2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134E50"/>
    <w:multiLevelType w:val="hybridMultilevel"/>
    <w:tmpl w:val="371E0C8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710CF"/>
    <w:multiLevelType w:val="hybridMultilevel"/>
    <w:tmpl w:val="0C98A56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6A50A6"/>
    <w:multiLevelType w:val="hybridMultilevel"/>
    <w:tmpl w:val="6004EA64"/>
    <w:lvl w:ilvl="0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11D127F"/>
    <w:multiLevelType w:val="hybridMultilevel"/>
    <w:tmpl w:val="A3824C18"/>
    <w:lvl w:ilvl="0" w:tplc="080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78"/>
    <w:rsid w:val="00025397"/>
    <w:rsid w:val="00025C3C"/>
    <w:rsid w:val="00051762"/>
    <w:rsid w:val="0005597D"/>
    <w:rsid w:val="00062751"/>
    <w:rsid w:val="000907FF"/>
    <w:rsid w:val="000B4CF9"/>
    <w:rsid w:val="000C7F58"/>
    <w:rsid w:val="000E4420"/>
    <w:rsid w:val="000F2CB3"/>
    <w:rsid w:val="000F5148"/>
    <w:rsid w:val="000F69C3"/>
    <w:rsid w:val="001166D6"/>
    <w:rsid w:val="0013415D"/>
    <w:rsid w:val="00147FD2"/>
    <w:rsid w:val="00163D8C"/>
    <w:rsid w:val="00177A1C"/>
    <w:rsid w:val="00191E3E"/>
    <w:rsid w:val="00194877"/>
    <w:rsid w:val="00196338"/>
    <w:rsid w:val="001B650C"/>
    <w:rsid w:val="001F2AC0"/>
    <w:rsid w:val="001F4F51"/>
    <w:rsid w:val="001F6240"/>
    <w:rsid w:val="002031C6"/>
    <w:rsid w:val="002171D4"/>
    <w:rsid w:val="00224B09"/>
    <w:rsid w:val="00226076"/>
    <w:rsid w:val="00256987"/>
    <w:rsid w:val="00275912"/>
    <w:rsid w:val="00277116"/>
    <w:rsid w:val="0029661F"/>
    <w:rsid w:val="002C0E55"/>
    <w:rsid w:val="002C3065"/>
    <w:rsid w:val="002C6A9F"/>
    <w:rsid w:val="002C7E9F"/>
    <w:rsid w:val="0030166E"/>
    <w:rsid w:val="003072E8"/>
    <w:rsid w:val="00330F05"/>
    <w:rsid w:val="00336EC1"/>
    <w:rsid w:val="00344DCA"/>
    <w:rsid w:val="00373CA1"/>
    <w:rsid w:val="0037506E"/>
    <w:rsid w:val="00390830"/>
    <w:rsid w:val="003B67C1"/>
    <w:rsid w:val="003D07FE"/>
    <w:rsid w:val="003E6A9A"/>
    <w:rsid w:val="003F0026"/>
    <w:rsid w:val="003F0664"/>
    <w:rsid w:val="004048D5"/>
    <w:rsid w:val="004113FE"/>
    <w:rsid w:val="00425B88"/>
    <w:rsid w:val="00436F7D"/>
    <w:rsid w:val="00464DDD"/>
    <w:rsid w:val="004A7281"/>
    <w:rsid w:val="004B21B3"/>
    <w:rsid w:val="004B3CC7"/>
    <w:rsid w:val="004E6D08"/>
    <w:rsid w:val="004F2EEB"/>
    <w:rsid w:val="00504448"/>
    <w:rsid w:val="0054563D"/>
    <w:rsid w:val="0056463A"/>
    <w:rsid w:val="00586DBE"/>
    <w:rsid w:val="005A41F7"/>
    <w:rsid w:val="005E2F66"/>
    <w:rsid w:val="005F7866"/>
    <w:rsid w:val="006118B5"/>
    <w:rsid w:val="0062332C"/>
    <w:rsid w:val="00640358"/>
    <w:rsid w:val="00641978"/>
    <w:rsid w:val="00661CA3"/>
    <w:rsid w:val="00676E47"/>
    <w:rsid w:val="00691C5F"/>
    <w:rsid w:val="006C059A"/>
    <w:rsid w:val="006D64EE"/>
    <w:rsid w:val="006D7A2E"/>
    <w:rsid w:val="006E2955"/>
    <w:rsid w:val="006F4760"/>
    <w:rsid w:val="00706F03"/>
    <w:rsid w:val="00721F40"/>
    <w:rsid w:val="00747A35"/>
    <w:rsid w:val="00780737"/>
    <w:rsid w:val="007A223C"/>
    <w:rsid w:val="007C4423"/>
    <w:rsid w:val="007C460D"/>
    <w:rsid w:val="007F3C06"/>
    <w:rsid w:val="007F5431"/>
    <w:rsid w:val="0080764C"/>
    <w:rsid w:val="00815BBB"/>
    <w:rsid w:val="008160BB"/>
    <w:rsid w:val="008449A4"/>
    <w:rsid w:val="00856433"/>
    <w:rsid w:val="00864563"/>
    <w:rsid w:val="008E17E1"/>
    <w:rsid w:val="0090745A"/>
    <w:rsid w:val="00941BBD"/>
    <w:rsid w:val="00946A26"/>
    <w:rsid w:val="00995F11"/>
    <w:rsid w:val="00997B06"/>
    <w:rsid w:val="009B4BF2"/>
    <w:rsid w:val="009E19DF"/>
    <w:rsid w:val="009E6B7C"/>
    <w:rsid w:val="00A00FAE"/>
    <w:rsid w:val="00A14D33"/>
    <w:rsid w:val="00A36EFD"/>
    <w:rsid w:val="00A42114"/>
    <w:rsid w:val="00A52248"/>
    <w:rsid w:val="00A678C7"/>
    <w:rsid w:val="00A817E7"/>
    <w:rsid w:val="00A92F0D"/>
    <w:rsid w:val="00A93D61"/>
    <w:rsid w:val="00AB4832"/>
    <w:rsid w:val="00AD248E"/>
    <w:rsid w:val="00AD290D"/>
    <w:rsid w:val="00AD5285"/>
    <w:rsid w:val="00B20181"/>
    <w:rsid w:val="00B86A3A"/>
    <w:rsid w:val="00BC41E0"/>
    <w:rsid w:val="00C2320C"/>
    <w:rsid w:val="00C248D6"/>
    <w:rsid w:val="00C445AC"/>
    <w:rsid w:val="00C90702"/>
    <w:rsid w:val="00C91051"/>
    <w:rsid w:val="00D10927"/>
    <w:rsid w:val="00D13B43"/>
    <w:rsid w:val="00D42E12"/>
    <w:rsid w:val="00D517AA"/>
    <w:rsid w:val="00D5197A"/>
    <w:rsid w:val="00D86E78"/>
    <w:rsid w:val="00E03984"/>
    <w:rsid w:val="00E317B7"/>
    <w:rsid w:val="00E64669"/>
    <w:rsid w:val="00EC7CF0"/>
    <w:rsid w:val="00EE20A6"/>
    <w:rsid w:val="00EE3792"/>
    <w:rsid w:val="00F020C7"/>
    <w:rsid w:val="00F17E31"/>
    <w:rsid w:val="00F30A36"/>
    <w:rsid w:val="00F31167"/>
    <w:rsid w:val="00F56B8B"/>
    <w:rsid w:val="00F60FAE"/>
    <w:rsid w:val="00F725A2"/>
    <w:rsid w:val="00F80284"/>
    <w:rsid w:val="00F81870"/>
    <w:rsid w:val="00F84F00"/>
    <w:rsid w:val="00F93459"/>
    <w:rsid w:val="00FA5F78"/>
    <w:rsid w:val="00FD40B6"/>
    <w:rsid w:val="00FE21B0"/>
    <w:rsid w:val="00F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AB13E"/>
  <w15:docId w15:val="{CE666976-9A00-415B-AB12-B503960B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C5F"/>
    <w:pPr>
      <w:ind w:left="720"/>
      <w:contextualSpacing/>
    </w:pPr>
  </w:style>
  <w:style w:type="paragraph" w:customStyle="1" w:styleId="Default">
    <w:name w:val="Default"/>
    <w:rsid w:val="000F2CB3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en-GB"/>
    </w:rPr>
  </w:style>
  <w:style w:type="paragraph" w:customStyle="1" w:styleId="CM1">
    <w:name w:val="CM1"/>
    <w:basedOn w:val="Default"/>
    <w:next w:val="Default"/>
    <w:uiPriority w:val="99"/>
    <w:rsid w:val="000F2CB3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F2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B3"/>
  </w:style>
  <w:style w:type="paragraph" w:styleId="Footer">
    <w:name w:val="footer"/>
    <w:basedOn w:val="Normal"/>
    <w:link w:val="FooterChar"/>
    <w:uiPriority w:val="99"/>
    <w:unhideWhenUsed/>
    <w:rsid w:val="000F2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B3"/>
  </w:style>
  <w:style w:type="paragraph" w:styleId="BalloonText">
    <w:name w:val="Balloon Text"/>
    <w:basedOn w:val="Normal"/>
    <w:link w:val="BalloonTextChar"/>
    <w:uiPriority w:val="99"/>
    <w:semiHidden/>
    <w:unhideWhenUsed/>
    <w:rsid w:val="000F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B3"/>
    <w:rPr>
      <w:rFonts w:ascii="Tahoma" w:hAnsi="Tahoma" w:cs="Tahoma"/>
      <w:sz w:val="16"/>
      <w:szCs w:val="16"/>
    </w:rPr>
  </w:style>
  <w:style w:type="paragraph" w:customStyle="1" w:styleId="CM71">
    <w:name w:val="CM71"/>
    <w:basedOn w:val="Default"/>
    <w:next w:val="Default"/>
    <w:uiPriority w:val="99"/>
    <w:rsid w:val="000F2CB3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0F2CB3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0F2CB3"/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0F2CB3"/>
    <w:pPr>
      <w:spacing w:line="280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13B43"/>
    <w:rPr>
      <w:strike w:val="0"/>
      <w:dstrike w:val="0"/>
      <w:color w:val="0000BB"/>
      <w:u w:val="none"/>
      <w:effect w:val="none"/>
    </w:rPr>
  </w:style>
  <w:style w:type="character" w:customStyle="1" w:styleId="vv1">
    <w:name w:val="vv1"/>
    <w:basedOn w:val="DefaultParagraphFont"/>
    <w:rsid w:val="00D13B43"/>
    <w:rPr>
      <w:rFonts w:ascii="Verdana" w:hAnsi="Verdana" w:hint="default"/>
      <w:color w:val="7777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5B1A-6F9A-45E8-817A-4699B774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Hill</dc:creator>
  <cp:lastModifiedBy>Lauren Bridgwater</cp:lastModifiedBy>
  <cp:revision>2</cp:revision>
  <cp:lastPrinted>2016-04-27T14:00:00Z</cp:lastPrinted>
  <dcterms:created xsi:type="dcterms:W3CDTF">2020-05-14T14:59:00Z</dcterms:created>
  <dcterms:modified xsi:type="dcterms:W3CDTF">2020-05-14T14:59:00Z</dcterms:modified>
</cp:coreProperties>
</file>